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004C" w:rsidRPr="00CA36B0" w:rsidRDefault="00CC56C2" w:rsidP="0075004C">
      <w:pPr>
        <w:jc w:val="center"/>
        <w:rPr>
          <w:b/>
          <w:color w:val="1F497D"/>
        </w:rPr>
      </w:pPr>
      <w:r>
        <w:rPr>
          <w:b/>
          <w:color w:val="1F497D"/>
        </w:rPr>
        <w:t xml:space="preserve"> </w:t>
      </w:r>
      <w:bookmarkStart w:id="0" w:name="_GoBack"/>
      <w:bookmarkEnd w:id="0"/>
      <w:r w:rsidR="0075004C" w:rsidRPr="00CA36B0">
        <w:rPr>
          <w:b/>
          <w:color w:val="1F497D"/>
        </w:rPr>
        <w:t xml:space="preserve">A Guide to </w:t>
      </w:r>
      <w:r w:rsidR="0075004C">
        <w:rPr>
          <w:b/>
          <w:color w:val="1F497D"/>
        </w:rPr>
        <w:t>Breast Augmentation</w:t>
      </w:r>
      <w:r w:rsidR="0075004C" w:rsidRPr="00CA36B0">
        <w:rPr>
          <w:b/>
          <w:color w:val="1F497D"/>
        </w:rPr>
        <w:t xml:space="preserve"> </w:t>
      </w:r>
      <w:r w:rsidR="0075004C">
        <w:rPr>
          <w:b/>
          <w:color w:val="1F497D"/>
        </w:rPr>
        <w:t xml:space="preserve">Surgery </w:t>
      </w:r>
      <w:r w:rsidR="0075004C" w:rsidRPr="00CA36B0">
        <w:rPr>
          <w:b/>
          <w:color w:val="1F497D"/>
        </w:rPr>
        <w:t>in Boston</w:t>
      </w:r>
    </w:p>
    <w:p w:rsidR="0075004C" w:rsidRDefault="0075004C" w:rsidP="0075004C">
      <w:pPr>
        <w:jc w:val="center"/>
        <w:rPr>
          <w:color w:val="1F497D"/>
        </w:rPr>
      </w:pPr>
    </w:p>
    <w:p w:rsidR="0075004C" w:rsidRDefault="0075004C" w:rsidP="0075004C">
      <w:pPr>
        <w:spacing w:line="276" w:lineRule="auto"/>
        <w:rPr>
          <w:color w:val="1F497D"/>
        </w:rPr>
      </w:pPr>
      <w:r>
        <w:rPr>
          <w:color w:val="1F497D"/>
        </w:rPr>
        <w:t xml:space="preserve">The following surgeons perform breast augmentation procedures in Boston: </w:t>
      </w:r>
    </w:p>
    <w:p w:rsidR="0075004C" w:rsidRDefault="0075004C" w:rsidP="0075004C">
      <w:pPr>
        <w:spacing w:line="276" w:lineRule="auto"/>
        <w:rPr>
          <w:color w:val="1F497D"/>
        </w:rPr>
      </w:pPr>
    </w:p>
    <w:p w:rsidR="0075004C" w:rsidRDefault="0075004C" w:rsidP="0075004C">
      <w:pPr>
        <w:spacing w:line="276" w:lineRule="auto"/>
        <w:rPr>
          <w:color w:val="1F497D"/>
        </w:rPr>
      </w:pPr>
      <w:r>
        <w:rPr>
          <w:color w:val="1F497D"/>
        </w:rPr>
        <w:t>               Michael B. Tantillo, MD</w:t>
      </w:r>
    </w:p>
    <w:p w:rsidR="0075004C" w:rsidRDefault="0075004C" w:rsidP="0075004C">
      <w:pPr>
        <w:spacing w:line="276" w:lineRule="auto"/>
        <w:ind w:firstLine="720"/>
        <w:rPr>
          <w:color w:val="1F497D"/>
        </w:rPr>
      </w:pPr>
      <w:r>
        <w:rPr>
          <w:color w:val="1F497D"/>
        </w:rPr>
        <w:t>235 Cypress Street #210</w:t>
      </w:r>
    </w:p>
    <w:p w:rsidR="0075004C" w:rsidRDefault="0075004C" w:rsidP="0075004C">
      <w:pPr>
        <w:spacing w:line="276" w:lineRule="auto"/>
        <w:ind w:firstLine="720"/>
        <w:rPr>
          <w:color w:val="1F497D"/>
        </w:rPr>
      </w:pPr>
      <w:r>
        <w:rPr>
          <w:color w:val="1F497D"/>
        </w:rPr>
        <w:t>Brookline, MA 02445</w:t>
      </w:r>
    </w:p>
    <w:p w:rsidR="0075004C" w:rsidRDefault="0075004C" w:rsidP="0075004C">
      <w:pPr>
        <w:spacing w:line="276" w:lineRule="auto"/>
        <w:ind w:firstLine="720"/>
        <w:rPr>
          <w:color w:val="1F497D"/>
        </w:rPr>
      </w:pPr>
      <w:r>
        <w:rPr>
          <w:color w:val="1F497D"/>
        </w:rPr>
        <w:t>617-383-6250</w:t>
      </w:r>
    </w:p>
    <w:p w:rsidR="0075004C" w:rsidRDefault="0075004C" w:rsidP="0075004C">
      <w:pPr>
        <w:spacing w:line="276" w:lineRule="auto"/>
        <w:ind w:firstLine="720"/>
        <w:rPr>
          <w:color w:val="1F497D"/>
        </w:rPr>
      </w:pPr>
    </w:p>
    <w:p w:rsidR="0075004C" w:rsidRDefault="0075004C" w:rsidP="0075004C">
      <w:pPr>
        <w:spacing w:line="276" w:lineRule="auto"/>
        <w:ind w:firstLine="720"/>
        <w:rPr>
          <w:color w:val="1F497D"/>
        </w:rPr>
      </w:pPr>
      <w:r>
        <w:rPr>
          <w:color w:val="1F497D"/>
        </w:rPr>
        <w:t>Dr. Jaromir Slama</w:t>
      </w:r>
    </w:p>
    <w:p w:rsidR="0075004C" w:rsidRDefault="0075004C" w:rsidP="0075004C">
      <w:pPr>
        <w:spacing w:line="276" w:lineRule="auto"/>
        <w:ind w:firstLine="720"/>
        <w:rPr>
          <w:color w:val="1F497D"/>
        </w:rPr>
      </w:pPr>
      <w:r>
        <w:rPr>
          <w:color w:val="1F497D"/>
        </w:rPr>
        <w:t xml:space="preserve">720 Harrison Ave #9600, </w:t>
      </w:r>
    </w:p>
    <w:p w:rsidR="0075004C" w:rsidRDefault="0075004C" w:rsidP="0075004C">
      <w:pPr>
        <w:spacing w:line="276" w:lineRule="auto"/>
        <w:ind w:firstLine="720"/>
        <w:rPr>
          <w:color w:val="1F497D"/>
        </w:rPr>
      </w:pPr>
      <w:r>
        <w:rPr>
          <w:color w:val="1F497D"/>
        </w:rPr>
        <w:t>Boston, MA 02118</w:t>
      </w:r>
    </w:p>
    <w:p w:rsidR="0075004C" w:rsidRDefault="0075004C" w:rsidP="0075004C">
      <w:pPr>
        <w:spacing w:line="276" w:lineRule="auto"/>
        <w:ind w:firstLine="720"/>
        <w:rPr>
          <w:color w:val="1F497D"/>
        </w:rPr>
      </w:pPr>
      <w:r>
        <w:rPr>
          <w:color w:val="1F497D"/>
        </w:rPr>
        <w:t>617-638-8419</w:t>
      </w:r>
    </w:p>
    <w:p w:rsidR="0075004C" w:rsidRDefault="0075004C" w:rsidP="0075004C">
      <w:pPr>
        <w:spacing w:line="276" w:lineRule="auto"/>
        <w:ind w:firstLine="720"/>
        <w:rPr>
          <w:color w:val="1F497D"/>
        </w:rPr>
      </w:pPr>
    </w:p>
    <w:p w:rsidR="0075004C" w:rsidRDefault="0075004C" w:rsidP="0075004C">
      <w:pPr>
        <w:spacing w:line="276" w:lineRule="auto"/>
        <w:ind w:firstLine="720"/>
        <w:rPr>
          <w:color w:val="1F497D"/>
        </w:rPr>
      </w:pPr>
      <w:r>
        <w:rPr>
          <w:color w:val="1F497D"/>
        </w:rPr>
        <w:t>Dr. Richard Bartlett</w:t>
      </w:r>
    </w:p>
    <w:p w:rsidR="0075004C" w:rsidRDefault="0075004C" w:rsidP="0075004C">
      <w:pPr>
        <w:spacing w:line="276" w:lineRule="auto"/>
        <w:ind w:firstLine="720"/>
        <w:rPr>
          <w:color w:val="1F497D"/>
        </w:rPr>
      </w:pPr>
      <w:r>
        <w:rPr>
          <w:color w:val="1F497D"/>
        </w:rPr>
        <w:t>77 Pond Ave, Suite 104C</w:t>
      </w:r>
    </w:p>
    <w:p w:rsidR="0075004C" w:rsidRDefault="0075004C" w:rsidP="0075004C">
      <w:pPr>
        <w:spacing w:line="276" w:lineRule="auto"/>
        <w:ind w:firstLine="720"/>
        <w:rPr>
          <w:color w:val="1F497D"/>
        </w:rPr>
      </w:pPr>
      <w:r>
        <w:rPr>
          <w:color w:val="1F497D"/>
        </w:rPr>
        <w:t>Brookline, MA 02445</w:t>
      </w:r>
    </w:p>
    <w:p w:rsidR="0075004C" w:rsidRDefault="0075004C" w:rsidP="0075004C">
      <w:pPr>
        <w:spacing w:line="276" w:lineRule="auto"/>
        <w:ind w:firstLine="720"/>
        <w:rPr>
          <w:color w:val="1F497D"/>
        </w:rPr>
      </w:pPr>
      <w:r>
        <w:rPr>
          <w:color w:val="1F497D"/>
        </w:rPr>
        <w:t>617-735-1800</w:t>
      </w:r>
    </w:p>
    <w:p w:rsidR="0075004C" w:rsidRDefault="0075004C" w:rsidP="0075004C">
      <w:pPr>
        <w:spacing w:line="276" w:lineRule="auto"/>
        <w:rPr>
          <w:color w:val="1F497D"/>
        </w:rPr>
      </w:pPr>
    </w:p>
    <w:p w:rsidR="0075004C" w:rsidRDefault="0075004C" w:rsidP="0075004C">
      <w:pPr>
        <w:spacing w:line="276" w:lineRule="auto"/>
        <w:rPr>
          <w:color w:val="1F497D"/>
        </w:rPr>
      </w:pPr>
      <w:r>
        <w:rPr>
          <w:color w:val="1F497D"/>
        </w:rPr>
        <w:t xml:space="preserve">Each surgeon performs breast augmentation in slightly different ways, and your will probably want to research each and figure out who does the procedure you’d prefer, which surgeon takes your insurance, and which surgeon can schedule on a timeline that works for you. Go to </w:t>
      </w:r>
      <w:hyperlink r:id="rId6" w:history="1">
        <w:r w:rsidRPr="00D24997">
          <w:rPr>
            <w:rStyle w:val="Hyperlink"/>
          </w:rPr>
          <w:t>www.transbucket.com</w:t>
        </w:r>
      </w:hyperlink>
      <w:r>
        <w:rPr>
          <w:color w:val="1F497D"/>
        </w:rPr>
        <w:t xml:space="preserve"> and filter by surgeon to see before and after pictures from patients (this site is NOT SAFE FOR WORK).</w:t>
      </w:r>
    </w:p>
    <w:p w:rsidR="0075004C" w:rsidRDefault="0075004C" w:rsidP="0075004C">
      <w:pPr>
        <w:spacing w:line="276" w:lineRule="auto"/>
        <w:rPr>
          <w:color w:val="1F497D"/>
        </w:rPr>
      </w:pPr>
    </w:p>
    <w:p w:rsidR="0075004C" w:rsidRDefault="0075004C" w:rsidP="0075004C">
      <w:pPr>
        <w:spacing w:line="276" w:lineRule="auto"/>
        <w:rPr>
          <w:color w:val="1F497D"/>
        </w:rPr>
      </w:pPr>
      <w:r>
        <w:rPr>
          <w:color w:val="1F497D"/>
        </w:rPr>
        <w:t>The steps for referral depend on what insurance you have. You may or may not need a letter from a mental health professional. If you don’t have a regular therapist, that’s okay. We can help schedule you for consulting appointments particular to getting a letter written or to find therapist to see regularly.</w:t>
      </w:r>
    </w:p>
    <w:p w:rsidR="0075004C" w:rsidRDefault="0075004C" w:rsidP="0075004C">
      <w:pPr>
        <w:spacing w:line="276" w:lineRule="auto"/>
        <w:rPr>
          <w:color w:val="1F497D"/>
        </w:rPr>
      </w:pPr>
    </w:p>
    <w:p w:rsidR="0075004C" w:rsidRDefault="0075004C" w:rsidP="0075004C">
      <w:pPr>
        <w:spacing w:line="276" w:lineRule="auto"/>
        <w:rPr>
          <w:color w:val="1F497D"/>
        </w:rPr>
      </w:pPr>
      <w:r>
        <w:rPr>
          <w:color w:val="1F497D"/>
        </w:rPr>
        <w:t xml:space="preserve">For you to qualify for surgical referral (pretty much everywhere), you will need to meet the following requirements (the WPATH standards of care): </w:t>
      </w:r>
    </w:p>
    <w:p w:rsidR="0075004C" w:rsidRDefault="0075004C" w:rsidP="0075004C">
      <w:pPr>
        <w:pStyle w:val="ListParagraph"/>
        <w:numPr>
          <w:ilvl w:val="0"/>
          <w:numId w:val="1"/>
        </w:numPr>
        <w:spacing w:line="276" w:lineRule="auto"/>
        <w:rPr>
          <w:color w:val="1F497D"/>
        </w:rPr>
      </w:pPr>
      <w:r>
        <w:rPr>
          <w:color w:val="1F497D"/>
        </w:rPr>
        <w:t>Documentation of persistent gender dysphoria. This happens in the referral letters.</w:t>
      </w:r>
    </w:p>
    <w:p w:rsidR="0075004C" w:rsidRDefault="0075004C" w:rsidP="0075004C">
      <w:pPr>
        <w:pStyle w:val="ListParagraph"/>
        <w:numPr>
          <w:ilvl w:val="0"/>
          <w:numId w:val="1"/>
        </w:numPr>
        <w:spacing w:line="276" w:lineRule="auto"/>
        <w:rPr>
          <w:color w:val="1F497D"/>
        </w:rPr>
      </w:pPr>
      <w:r>
        <w:rPr>
          <w:color w:val="1F497D"/>
        </w:rPr>
        <w:t xml:space="preserve">Capacity for informed consent. </w:t>
      </w:r>
    </w:p>
    <w:p w:rsidR="0075004C" w:rsidRDefault="0075004C" w:rsidP="0075004C">
      <w:pPr>
        <w:pStyle w:val="ListParagraph"/>
        <w:numPr>
          <w:ilvl w:val="0"/>
          <w:numId w:val="1"/>
        </w:numPr>
        <w:spacing w:line="276" w:lineRule="auto"/>
        <w:rPr>
          <w:color w:val="1F497D"/>
        </w:rPr>
      </w:pPr>
      <w:r>
        <w:rPr>
          <w:color w:val="1F497D"/>
        </w:rPr>
        <w:t xml:space="preserve">18 years or older </w:t>
      </w:r>
    </w:p>
    <w:p w:rsidR="0075004C" w:rsidRDefault="0075004C" w:rsidP="0075004C">
      <w:pPr>
        <w:pStyle w:val="ListParagraph"/>
        <w:numPr>
          <w:ilvl w:val="0"/>
          <w:numId w:val="1"/>
        </w:numPr>
        <w:spacing w:line="276" w:lineRule="auto"/>
        <w:rPr>
          <w:color w:val="1F497D"/>
        </w:rPr>
      </w:pPr>
      <w:r>
        <w:rPr>
          <w:color w:val="1F497D"/>
        </w:rPr>
        <w:t xml:space="preserve">Any significant medical or mental health concerns must be reasonably well controlled. This may need to be documented in a letter from a behavioral health professional. </w:t>
      </w:r>
    </w:p>
    <w:p w:rsidR="0075004C" w:rsidRPr="006E63E0" w:rsidRDefault="0075004C" w:rsidP="0075004C">
      <w:pPr>
        <w:pStyle w:val="ListParagraph"/>
        <w:numPr>
          <w:ilvl w:val="0"/>
          <w:numId w:val="1"/>
        </w:numPr>
        <w:spacing w:line="276" w:lineRule="auto"/>
        <w:rPr>
          <w:color w:val="1F497D"/>
        </w:rPr>
      </w:pPr>
      <w:r>
        <w:rPr>
          <w:b/>
          <w:color w:val="1F497D"/>
        </w:rPr>
        <w:t xml:space="preserve">Documentation of ongoing feminizing hormone therapy for 24 months or longer. </w:t>
      </w:r>
      <w:r>
        <w:rPr>
          <w:color w:val="1F497D"/>
        </w:rPr>
        <w:t>This requirement may differ depending on your insurance plan, but most insurance plans require 18-24 months of hormone use with insufficient breast development prior to authorizing breast augmentation surgery.</w:t>
      </w:r>
    </w:p>
    <w:p w:rsidR="001167F8" w:rsidRPr="0075004C" w:rsidRDefault="0075004C" w:rsidP="0075004C">
      <w:pPr>
        <w:spacing w:line="276" w:lineRule="auto"/>
        <w:rPr>
          <w:color w:val="1F497D"/>
        </w:rPr>
      </w:pPr>
      <w:r>
        <w:rPr>
          <w:color w:val="1F497D"/>
        </w:rPr>
        <w:t>Your insurance may have further requirements for hormone treatment, doctor’s letters, or other recommendations.</w:t>
      </w:r>
    </w:p>
    <w:sectPr w:rsidR="001167F8" w:rsidRPr="007500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A82E8F"/>
    <w:multiLevelType w:val="hybridMultilevel"/>
    <w:tmpl w:val="BD34FE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2C0B"/>
    <w:rsid w:val="001167F8"/>
    <w:rsid w:val="002E2C0B"/>
    <w:rsid w:val="0075004C"/>
    <w:rsid w:val="00CC56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004C"/>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04C"/>
    <w:pPr>
      <w:ind w:left="720"/>
    </w:pPr>
  </w:style>
  <w:style w:type="character" w:styleId="Hyperlink">
    <w:name w:val="Hyperlink"/>
    <w:basedOn w:val="DefaultParagraphFont"/>
    <w:uiPriority w:val="99"/>
    <w:unhideWhenUsed/>
    <w:rsid w:val="0075004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004C"/>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04C"/>
    <w:pPr>
      <w:ind w:left="720"/>
    </w:pPr>
  </w:style>
  <w:style w:type="character" w:styleId="Hyperlink">
    <w:name w:val="Hyperlink"/>
    <w:basedOn w:val="DefaultParagraphFont"/>
    <w:uiPriority w:val="99"/>
    <w:unhideWhenUsed/>
    <w:rsid w:val="007500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ransbucket.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295</Words>
  <Characters>1683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Cei Lambert</dc:creator>
  <cp:keywords/>
  <dc:description/>
  <cp:lastModifiedBy>Cei Lambert</cp:lastModifiedBy>
  <cp:revision>3</cp:revision>
  <cp:lastPrinted>2016-02-10T18:04:00Z</cp:lastPrinted>
  <dcterms:created xsi:type="dcterms:W3CDTF">2016-02-10T17:52:00Z</dcterms:created>
  <dcterms:modified xsi:type="dcterms:W3CDTF">2016-02-10T18:05:00Z</dcterms:modified>
</cp:coreProperties>
</file>